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幼圆" w:eastAsia="幼圆" w:hAnsiTheme="minorEastAsia"/>
          <w:b/>
          <w:sz w:val="28"/>
          <w:szCs w:val="28"/>
        </w:rPr>
      </w:pPr>
      <w:r>
        <w:rPr>
          <w:rFonts w:hint="eastAsia" w:ascii="幼圆" w:eastAsia="幼圆" w:hAnsiTheme="minorEastAsia"/>
          <w:b/>
          <w:sz w:val="28"/>
          <w:szCs w:val="28"/>
        </w:rPr>
        <w:t>“绽FUN你的未来”</w:t>
      </w:r>
    </w:p>
    <w:p>
      <w:pPr>
        <w:jc w:val="center"/>
        <w:rPr>
          <w:rFonts w:ascii="幼圆" w:hAnsi="幼圆" w:eastAsia="幼圆" w:cs="幼圆"/>
          <w:b/>
          <w:bCs/>
          <w:sz w:val="28"/>
          <w:szCs w:val="28"/>
        </w:rPr>
      </w:pPr>
      <w:r>
        <w:rPr>
          <w:rFonts w:hint="eastAsia" w:ascii="幼圆" w:eastAsia="幼圆" w:hAnsiTheme="minorEastAsia"/>
          <w:b/>
          <w:sz w:val="28"/>
          <w:szCs w:val="28"/>
        </w:rPr>
        <w:t>——</w:t>
      </w:r>
      <w:r>
        <w:rPr>
          <w:rFonts w:hint="eastAsia" w:ascii="幼圆" w:hAnsi="幼圆" w:eastAsia="幼圆" w:cs="幼圆"/>
          <w:b/>
          <w:bCs/>
          <w:sz w:val="28"/>
          <w:szCs w:val="28"/>
        </w:rPr>
        <w:t>中骏集团</w:t>
      </w:r>
      <w:r>
        <w:rPr>
          <w:rFonts w:hint="eastAsia" w:ascii="幼圆" w:hAnsi="幼圆" w:eastAsia="幼圆" w:cs="幼圆"/>
          <w:b/>
          <w:bCs/>
          <w:sz w:val="28"/>
          <w:szCs w:val="28"/>
          <w:lang w:eastAsia="zh-CN"/>
        </w:rPr>
        <w:t>“</w:t>
      </w:r>
      <w:r>
        <w:rPr>
          <w:rFonts w:hint="eastAsia" w:ascii="幼圆" w:hAnsi="幼圆" w:eastAsia="幼圆" w:cs="幼圆"/>
          <w:b/>
          <w:bCs/>
          <w:sz w:val="28"/>
          <w:szCs w:val="28"/>
        </w:rPr>
        <w:t>2019届</w:t>
      </w:r>
      <w:r>
        <w:rPr>
          <w:rFonts w:hint="eastAsia" w:ascii="幼圆" w:hAnsi="幼圆" w:eastAsia="幼圆" w:cs="幼圆"/>
          <w:b/>
          <w:bCs/>
          <w:sz w:val="28"/>
          <w:szCs w:val="28"/>
          <w:lang w:val="en-US" w:eastAsia="zh-CN"/>
        </w:rPr>
        <w:t>渠道</w:t>
      </w:r>
      <w:r>
        <w:rPr>
          <w:rFonts w:hint="eastAsia" w:ascii="幼圆" w:hAnsi="幼圆" w:eastAsia="幼圆" w:cs="幼圆"/>
          <w:b/>
          <w:bCs/>
          <w:sz w:val="28"/>
          <w:szCs w:val="28"/>
        </w:rPr>
        <w:t>”春季校园</w:t>
      </w:r>
      <w:r>
        <w:rPr>
          <w:rFonts w:ascii="幼圆" w:hAnsi="幼圆" w:eastAsia="幼圆" w:cs="幼圆"/>
          <w:b/>
          <w:bCs/>
          <w:sz w:val="28"/>
          <w:szCs w:val="28"/>
        </w:rPr>
        <w:t>招聘</w:t>
      </w:r>
    </w:p>
    <w:p>
      <w:pPr>
        <w:jc w:val="center"/>
        <w:rPr>
          <w:rFonts w:ascii="幼圆" w:hAnsi="幼圆" w:eastAsia="幼圆" w:cs="幼圆"/>
          <w:b/>
          <w:bCs/>
          <w:sz w:val="28"/>
          <w:szCs w:val="28"/>
        </w:rPr>
      </w:pPr>
      <w:bookmarkStart w:id="1" w:name="_GoBack"/>
      <w:bookmarkEnd w:id="1"/>
    </w:p>
    <w:p>
      <w:pPr>
        <w:spacing w:beforeLines="50" w:afterLines="50"/>
        <w:rPr>
          <w:rFonts w:ascii="幼圆" w:hAnsi="幼圆" w:eastAsia="幼圆" w:cs="幼圆"/>
          <w:b/>
          <w:bCs/>
          <w:szCs w:val="32"/>
        </w:rPr>
      </w:pPr>
      <w:r>
        <w:rPr>
          <w:rFonts w:hint="eastAsia" w:ascii="幼圆" w:hAnsi="幼圆" w:eastAsia="幼圆" w:cs="幼圆"/>
          <w:b/>
          <w:bCs/>
        </w:rPr>
        <w:t>一、集团简介</w:t>
      </w:r>
    </w:p>
    <w:p>
      <w:pPr>
        <w:pStyle w:val="6"/>
        <w:widowControl/>
        <w:shd w:val="clear" w:color="auto" w:fill="FFFFFF"/>
        <w:spacing w:before="0" w:beforeAutospacing="0" w:after="0" w:afterAutospacing="0" w:line="360" w:lineRule="auto"/>
        <w:ind w:firstLine="420" w:firstLineChars="200"/>
        <w:rPr>
          <w:rFonts w:ascii="幼圆" w:hAnsi="幼圆" w:eastAsia="幼圆" w:cs="幼圆"/>
          <w:sz w:val="21"/>
          <w:shd w:val="clear" w:color="auto" w:fill="FFFFFF"/>
        </w:rPr>
      </w:pPr>
      <w:r>
        <w:rPr>
          <w:rFonts w:hint="eastAsia" w:ascii="幼圆" w:hAnsi="幼圆" w:eastAsia="幼圆" w:cs="幼圆"/>
          <w:sz w:val="21"/>
          <w:shd w:val="clear" w:color="auto" w:fill="FFFFFF"/>
        </w:rPr>
        <w:t>中骏集团创办于1987年，总部设于上海，是一家专注于房地产开发及相关产业的综合性城市运营服务商。</w:t>
      </w:r>
    </w:p>
    <w:p>
      <w:pPr>
        <w:pStyle w:val="6"/>
        <w:widowControl/>
        <w:shd w:val="clear" w:color="auto" w:fill="FFFFFF"/>
        <w:spacing w:line="360" w:lineRule="auto"/>
        <w:ind w:firstLine="422" w:firstLineChars="200"/>
        <w:rPr>
          <w:rFonts w:ascii="幼圆" w:hAnsi="幼圆" w:eastAsia="幼圆" w:cs="幼圆"/>
          <w:sz w:val="21"/>
          <w:shd w:val="clear" w:color="auto" w:fill="FFFFFF"/>
        </w:rPr>
      </w:pPr>
      <w:r>
        <w:rPr>
          <w:rFonts w:hint="eastAsia" w:ascii="幼圆" w:hAnsi="幼圆" w:eastAsia="幼圆" w:cs="幼圆"/>
          <w:b/>
          <w:sz w:val="21"/>
          <w:shd w:val="clear" w:color="auto" w:fill="FFFFFF"/>
        </w:rPr>
        <w:t>中骏集团控股有限公司</w:t>
      </w:r>
      <w:r>
        <w:rPr>
          <w:rFonts w:ascii="幼圆" w:hAnsi="幼圆" w:eastAsia="幼圆" w:cs="幼圆"/>
          <w:sz w:val="21"/>
          <w:shd w:val="clear" w:color="auto" w:fill="FFFFFF"/>
        </w:rPr>
        <w:t>——业务体系涵盖地产开发、商业管理、物业管理及长租公寓、联合办公、健康管理、教育等新型业务板块。2018年销售规模达500亿元人民币。集团于2010年2月，在香港联交所主板成功上市(股票代码01966.HK)。</w:t>
      </w:r>
      <w:r>
        <w:rPr>
          <w:rFonts w:hint="eastAsia" w:ascii="幼圆" w:hAnsi="幼圆" w:eastAsia="幼圆" w:cs="幼圆"/>
          <w:sz w:val="21"/>
          <w:shd w:val="clear" w:color="auto" w:fill="FFFFFF"/>
        </w:rPr>
        <w:t>土地储备</w:t>
      </w:r>
      <w:r>
        <w:rPr>
          <w:rFonts w:ascii="幼圆" w:hAnsi="幼圆" w:eastAsia="幼圆" w:cs="幼圆"/>
          <w:sz w:val="21"/>
          <w:shd w:val="clear" w:color="auto" w:fill="FFFFFF"/>
        </w:rPr>
        <w:t>面积</w:t>
      </w:r>
      <w:r>
        <w:rPr>
          <w:rFonts w:hint="eastAsia" w:ascii="幼圆" w:hAnsi="幼圆" w:eastAsia="幼圆" w:cs="幼圆"/>
          <w:sz w:val="21"/>
          <w:shd w:val="clear" w:color="auto" w:fill="FFFFFF"/>
        </w:rPr>
        <w:t>超2600万平方米，可</w:t>
      </w:r>
      <w:r>
        <w:rPr>
          <w:rFonts w:ascii="幼圆" w:hAnsi="幼圆" w:eastAsia="幼圆" w:cs="幼圆"/>
          <w:sz w:val="21"/>
          <w:shd w:val="clear" w:color="auto" w:fill="FFFFFF"/>
        </w:rPr>
        <w:t>销售货值</w:t>
      </w:r>
      <w:r>
        <w:rPr>
          <w:rFonts w:hint="eastAsia" w:ascii="幼圆" w:hAnsi="幼圆" w:eastAsia="幼圆" w:cs="幼圆"/>
          <w:sz w:val="21"/>
          <w:shd w:val="clear" w:color="auto" w:fill="FFFFFF"/>
        </w:rPr>
        <w:t>超过3000亿元人民币</w:t>
      </w:r>
      <w:r>
        <w:rPr>
          <w:rFonts w:ascii="幼圆" w:hAnsi="幼圆" w:eastAsia="幼圆" w:cs="幼圆"/>
          <w:sz w:val="21"/>
          <w:shd w:val="clear" w:color="auto" w:fill="FFFFFF"/>
        </w:rPr>
        <w:t xml:space="preserve">。 </w:t>
      </w:r>
    </w:p>
    <w:p>
      <w:pPr>
        <w:pStyle w:val="6"/>
        <w:widowControl/>
        <w:shd w:val="clear" w:color="auto" w:fill="FFFFFF"/>
        <w:spacing w:line="360" w:lineRule="auto"/>
        <w:ind w:firstLine="422" w:firstLineChars="200"/>
        <w:rPr>
          <w:rFonts w:ascii="幼圆" w:hAnsi="幼圆" w:eastAsia="幼圆" w:cs="幼圆"/>
          <w:sz w:val="21"/>
          <w:shd w:val="clear" w:color="auto" w:fill="FFFFFF"/>
        </w:rPr>
      </w:pPr>
      <w:r>
        <w:rPr>
          <w:rFonts w:hint="eastAsia" w:ascii="幼圆" w:hAnsi="幼圆" w:eastAsia="幼圆" w:cs="幼圆"/>
          <w:b/>
          <w:sz w:val="21"/>
          <w:shd w:val="clear" w:color="auto" w:fill="FFFFFF"/>
        </w:rPr>
        <w:t>地产开发</w:t>
      </w:r>
      <w:r>
        <w:rPr>
          <w:rFonts w:ascii="幼圆" w:hAnsi="幼圆" w:eastAsia="幼圆" w:cs="幼圆"/>
          <w:sz w:val="21"/>
          <w:shd w:val="clear" w:color="auto" w:fill="FFFFFF"/>
        </w:rPr>
        <w:t>——中骏地产开发涵盖商业地产、文化旅游地产、产业地产、住宅地产</w:t>
      </w:r>
      <w:r>
        <w:rPr>
          <w:rFonts w:hint="eastAsia" w:ascii="幼圆" w:hAnsi="幼圆" w:eastAsia="幼圆" w:cs="幼圆"/>
          <w:sz w:val="21"/>
          <w:shd w:val="clear" w:color="auto" w:fill="FFFFFF"/>
        </w:rPr>
        <w:t>；</w:t>
      </w:r>
      <w:r>
        <w:rPr>
          <w:rFonts w:ascii="幼圆" w:hAnsi="幼圆" w:eastAsia="幼圆" w:cs="幼圆"/>
          <w:sz w:val="21"/>
          <w:shd w:val="clear" w:color="auto" w:fill="FFFFFF"/>
        </w:rPr>
        <w:t>战略聚焦于一线及核心二线城市</w:t>
      </w:r>
      <w:r>
        <w:rPr>
          <w:rFonts w:hint="eastAsia" w:ascii="幼圆" w:hAnsi="幼圆" w:eastAsia="幼圆" w:cs="幼圆"/>
          <w:sz w:val="21"/>
          <w:shd w:val="clear" w:color="auto" w:fill="FFFFFF"/>
        </w:rPr>
        <w:t>，</w:t>
      </w:r>
      <w:r>
        <w:rPr>
          <w:rFonts w:ascii="幼圆" w:hAnsi="幼圆" w:eastAsia="幼圆" w:cs="幼圆"/>
          <w:sz w:val="21"/>
          <w:shd w:val="clear" w:color="auto" w:fill="FFFFFF"/>
        </w:rPr>
        <w:t>弹性进入强三线城市</w:t>
      </w:r>
      <w:r>
        <w:rPr>
          <w:rFonts w:hint="eastAsia" w:ascii="幼圆" w:hAnsi="幼圆" w:eastAsia="幼圆" w:cs="幼圆"/>
          <w:sz w:val="21"/>
          <w:shd w:val="clear" w:color="auto" w:fill="FFFFFF"/>
        </w:rPr>
        <w:t>；</w:t>
      </w:r>
      <w:r>
        <w:rPr>
          <w:rFonts w:ascii="幼圆" w:hAnsi="幼圆" w:eastAsia="幼圆" w:cs="幼圆"/>
          <w:sz w:val="21"/>
          <w:shd w:val="clear" w:color="auto" w:fill="FFFFFF"/>
        </w:rPr>
        <w:t>重点布局长三角经济圈、环渤海经济圈、粤港澳大湾区、中部经济区、西部走廊及海峡西岸经济区。目前已进入30多个城市，项目遍布上海、北京、深圳、重庆、天津、杭州、南京、厦门等城市。</w:t>
      </w:r>
    </w:p>
    <w:p>
      <w:pPr>
        <w:widowControl/>
        <w:spacing w:before="100" w:beforeAutospacing="1" w:after="100" w:afterAutospacing="1" w:line="360" w:lineRule="auto"/>
        <w:ind w:firstLine="422" w:firstLineChars="200"/>
        <w:rPr>
          <w:rFonts w:ascii="幼圆" w:hAnsi="幼圆" w:eastAsia="幼圆" w:cs="幼圆"/>
          <w:kern w:val="0"/>
          <w:shd w:val="clear" w:color="auto" w:fill="FFFFFF"/>
        </w:rPr>
      </w:pPr>
      <w:r>
        <w:rPr>
          <w:rFonts w:hint="eastAsia" w:ascii="幼圆" w:hAnsi="幼圆" w:eastAsia="幼圆" w:cs="幼圆"/>
          <w:b/>
          <w:bCs/>
          <w:shd w:val="clear" w:color="auto" w:fill="FFFFFF"/>
        </w:rPr>
        <w:t>商业</w:t>
      </w:r>
      <w:r>
        <w:rPr>
          <w:rFonts w:ascii="幼圆" w:hAnsi="幼圆" w:eastAsia="幼圆" w:cs="幼圆"/>
          <w:b/>
          <w:bCs/>
          <w:shd w:val="clear" w:color="auto" w:fill="FFFFFF"/>
        </w:rPr>
        <w:t>管理</w:t>
      </w:r>
      <w:r>
        <w:rPr>
          <w:rFonts w:ascii="幼圆" w:hAnsi="幼圆" w:eastAsia="幼圆" w:cs="幼圆"/>
          <w:bCs/>
          <w:shd w:val="clear" w:color="auto" w:fill="FFFFFF"/>
        </w:rPr>
        <w:t>——</w:t>
      </w:r>
      <w:r>
        <w:rPr>
          <w:rFonts w:hint="eastAsia" w:ascii="幼圆" w:hAnsi="幼圆" w:eastAsia="幼圆" w:cs="幼圆"/>
          <w:kern w:val="0"/>
          <w:shd w:val="clear" w:color="auto" w:fill="FFFFFF"/>
        </w:rPr>
        <w:t>中骏商业管理拥有购物中心、主题街区、写字楼、文体文旅四大产品线，致力于探索与发展高品质生活空间，为追求品位生活的人群提供办公、购物、休闲娱乐的城市生活空间，并以创新的经营理念打造崭新的消费生活观，项目已覆盖北京、上海、厦门、泉州、石狮、南安等城市，未来将继续保持稳健的全国战略拓展步伐。</w:t>
      </w:r>
    </w:p>
    <w:p>
      <w:pPr>
        <w:widowControl/>
        <w:spacing w:before="100" w:beforeAutospacing="1" w:after="100" w:afterAutospacing="1" w:line="360" w:lineRule="auto"/>
        <w:ind w:firstLine="422" w:firstLineChars="200"/>
        <w:rPr>
          <w:rFonts w:ascii="幼圆" w:hAnsi="幼圆" w:eastAsia="幼圆" w:cs="幼圆"/>
          <w:kern w:val="0"/>
          <w:shd w:val="clear" w:color="auto" w:fill="FFFFFF"/>
        </w:rPr>
      </w:pPr>
      <w:r>
        <w:rPr>
          <w:rFonts w:hint="eastAsia" w:ascii="幼圆" w:hAnsi="幼圆" w:eastAsia="幼圆" w:cs="幼圆"/>
          <w:b/>
          <w:bCs/>
          <w:shd w:val="clear" w:color="auto" w:fill="FFFFFF"/>
        </w:rPr>
        <w:t>物业</w:t>
      </w:r>
      <w:r>
        <w:rPr>
          <w:rFonts w:ascii="幼圆" w:hAnsi="幼圆" w:eastAsia="幼圆" w:cs="幼圆"/>
          <w:b/>
          <w:bCs/>
          <w:shd w:val="clear" w:color="auto" w:fill="FFFFFF"/>
        </w:rPr>
        <w:t>管理</w:t>
      </w:r>
      <w:r>
        <w:rPr>
          <w:rFonts w:ascii="幼圆" w:hAnsi="幼圆" w:eastAsia="幼圆" w:cs="幼圆"/>
          <w:bCs/>
          <w:shd w:val="clear" w:color="auto" w:fill="FFFFFF"/>
        </w:rPr>
        <w:t>——</w:t>
      </w:r>
      <w:r>
        <w:rPr>
          <w:rFonts w:hint="eastAsia" w:ascii="幼圆" w:hAnsi="幼圆" w:eastAsia="幼圆" w:cs="幼圆"/>
          <w:kern w:val="0"/>
          <w:shd w:val="clear" w:color="auto" w:fill="FFFFFF"/>
        </w:rPr>
        <w:t>世邦泰和物业管理以物业管理为主营业务，业态涵盖别墅、花园洋房、高层住宅、酒店式公寓、SOHO、城市综合体、写字楼等多种物业类型，拥有国家物业管理一级资质，现为福建省物业管理企业副会长单位。公司在2011年通过ISO9001质量管理体系认证，2015、2016、2017年连续三年荣膺中国物业管理品牌价值50强。</w:t>
      </w:r>
    </w:p>
    <w:p>
      <w:pPr>
        <w:widowControl/>
        <w:spacing w:line="360" w:lineRule="auto"/>
        <w:ind w:firstLine="422" w:firstLineChars="200"/>
        <w:rPr>
          <w:rFonts w:ascii="幼圆" w:hAnsi="幼圆" w:eastAsia="幼圆" w:cs="幼圆"/>
          <w:kern w:val="0"/>
          <w:shd w:val="clear" w:color="auto" w:fill="FFFFFF"/>
        </w:rPr>
      </w:pPr>
      <w:r>
        <w:rPr>
          <w:rFonts w:ascii="幼圆" w:hAnsi="幼圆" w:eastAsia="幼圆" w:cs="幼圆"/>
          <w:b/>
          <w:bCs/>
          <w:shd w:val="clear" w:color="auto" w:fill="FFFFFF"/>
        </w:rPr>
        <w:t>FUN</w:t>
      </w:r>
      <w:r>
        <w:rPr>
          <w:rFonts w:ascii="幼圆" w:hAnsi="幼圆" w:eastAsia="幼圆" w:cs="幼圆"/>
          <w:b/>
          <w:bCs/>
          <w:shd w:val="clear" w:color="auto" w:fill="FFFFFF"/>
          <w:vertAlign w:val="superscript"/>
        </w:rPr>
        <w:t>+</w:t>
      </w:r>
      <w:r>
        <w:rPr>
          <w:rFonts w:ascii="幼圆" w:hAnsi="幼圆" w:eastAsia="幼圆" w:cs="幼圆"/>
          <w:b/>
          <w:bCs/>
          <w:shd w:val="clear" w:color="auto" w:fill="FFFFFF"/>
        </w:rPr>
        <w:t>幸福生活生态圈</w:t>
      </w:r>
      <w:r>
        <w:rPr>
          <w:rFonts w:ascii="幼圆" w:hAnsi="幼圆" w:eastAsia="幼圆" w:cs="幼圆"/>
          <w:bCs/>
          <w:shd w:val="clear" w:color="auto" w:fill="FFFFFF"/>
        </w:rPr>
        <w:t>——</w:t>
      </w:r>
      <w:r>
        <w:rPr>
          <w:rFonts w:hint="eastAsia" w:ascii="幼圆" w:hAnsi="幼圆" w:eastAsia="幼圆" w:cs="幼圆"/>
          <w:kern w:val="0"/>
          <w:shd w:val="clear" w:color="auto" w:fill="FFFFFF"/>
        </w:rPr>
        <w:t>面向未来，中骏集团基于对客户智慧生活趋势的研究，开始构建“FUN</w:t>
      </w:r>
      <w:r>
        <w:rPr>
          <w:rFonts w:hint="eastAsia" w:ascii="幼圆" w:hAnsi="幼圆" w:eastAsia="幼圆" w:cs="幼圆"/>
          <w:kern w:val="0"/>
          <w:shd w:val="clear" w:color="auto" w:fill="FFFFFF"/>
          <w:vertAlign w:val="superscript"/>
        </w:rPr>
        <w:t>+</w:t>
      </w:r>
      <w:r>
        <w:rPr>
          <w:rFonts w:hint="eastAsia" w:ascii="幼圆" w:hAnsi="幼圆" w:eastAsia="幼圆" w:cs="幼圆"/>
          <w:kern w:val="0"/>
          <w:shd w:val="clear" w:color="auto" w:fill="FFFFFF"/>
        </w:rPr>
        <w:t>幸福生活”生态圈，布局FUNLIVE方隅公寓、FUNWORK联合办公、健康管理等新型业务板块，致力于引领未来智慧生活潮流。</w:t>
      </w:r>
    </w:p>
    <w:p>
      <w:pPr>
        <w:widowControl/>
        <w:spacing w:line="360" w:lineRule="auto"/>
        <w:ind w:firstLine="422" w:firstLineChars="200"/>
        <w:rPr>
          <w:rFonts w:ascii="幼圆" w:hAnsi="幼圆" w:eastAsia="幼圆" w:cs="幼圆"/>
          <w:b/>
          <w:kern w:val="0"/>
          <w:shd w:val="clear" w:color="auto" w:fill="FFFFFF"/>
        </w:rPr>
      </w:pPr>
      <w:r>
        <w:rPr>
          <w:rFonts w:hint="eastAsia" w:ascii="幼圆" w:hAnsi="幼圆" w:eastAsia="幼圆" w:cs="幼圆"/>
          <w:b/>
          <w:kern w:val="0"/>
          <w:shd w:val="clear" w:color="auto" w:fill="FFFFFF"/>
        </w:rPr>
        <w:t>部分奖项荣誉：</w:t>
      </w:r>
    </w:p>
    <w:p>
      <w:pPr>
        <w:widowControl/>
        <w:spacing w:line="420" w:lineRule="exact"/>
        <w:ind w:firstLine="420" w:firstLineChars="200"/>
        <w:rPr>
          <w:rFonts w:ascii="幼圆" w:hAnsi="幼圆" w:eastAsia="幼圆" w:cs="幼圆"/>
          <w:kern w:val="0"/>
          <w:shd w:val="clear" w:color="auto" w:fill="FFFFFF"/>
        </w:rPr>
      </w:pPr>
      <w:r>
        <w:rPr>
          <w:rFonts w:hint="eastAsia" w:ascii="幼圆" w:hAnsi="幼圆" w:eastAsia="幼圆" w:cs="幼圆"/>
          <w:kern w:val="0"/>
          <w:shd w:val="clear" w:color="auto" w:fill="FFFFFF"/>
        </w:rPr>
        <w:t>连续4年获得“中国房地产开发企业5</w:t>
      </w:r>
      <w:r>
        <w:rPr>
          <w:rFonts w:ascii="幼圆" w:hAnsi="幼圆" w:eastAsia="幼圆" w:cs="幼圆"/>
          <w:kern w:val="0"/>
          <w:shd w:val="clear" w:color="auto" w:fill="FFFFFF"/>
        </w:rPr>
        <w:t>0</w:t>
      </w:r>
      <w:r>
        <w:rPr>
          <w:rFonts w:hint="eastAsia" w:ascii="幼圆" w:hAnsi="幼圆" w:eastAsia="幼圆" w:cs="幼圆"/>
          <w:kern w:val="0"/>
          <w:shd w:val="clear" w:color="auto" w:fill="FFFFFF"/>
        </w:rPr>
        <w:t>强”（2</w:t>
      </w:r>
      <w:r>
        <w:rPr>
          <w:rFonts w:ascii="幼圆" w:hAnsi="幼圆" w:eastAsia="幼圆" w:cs="幼圆"/>
          <w:kern w:val="0"/>
          <w:shd w:val="clear" w:color="auto" w:fill="FFFFFF"/>
        </w:rPr>
        <w:t>015</w:t>
      </w:r>
      <w:r>
        <w:rPr>
          <w:rFonts w:hint="eastAsia" w:ascii="幼圆" w:hAnsi="幼圆" w:eastAsia="幼圆" w:cs="幼圆"/>
          <w:kern w:val="0"/>
          <w:shd w:val="clear" w:color="auto" w:fill="FFFFFF"/>
        </w:rPr>
        <w:t>、2</w:t>
      </w:r>
      <w:r>
        <w:rPr>
          <w:rFonts w:ascii="幼圆" w:hAnsi="幼圆" w:eastAsia="幼圆" w:cs="幼圆"/>
          <w:kern w:val="0"/>
          <w:shd w:val="clear" w:color="auto" w:fill="FFFFFF"/>
        </w:rPr>
        <w:t>016</w:t>
      </w:r>
      <w:r>
        <w:rPr>
          <w:rFonts w:hint="eastAsia" w:ascii="幼圆" w:hAnsi="幼圆" w:eastAsia="幼圆" w:cs="幼圆"/>
          <w:kern w:val="0"/>
          <w:shd w:val="clear" w:color="auto" w:fill="FFFFFF"/>
        </w:rPr>
        <w:t>、</w:t>
      </w:r>
      <w:r>
        <w:rPr>
          <w:rFonts w:ascii="幼圆" w:hAnsi="幼圆" w:eastAsia="幼圆" w:cs="幼圆"/>
          <w:kern w:val="0"/>
          <w:shd w:val="clear" w:color="auto" w:fill="FFFFFF"/>
        </w:rPr>
        <w:t>2017</w:t>
      </w:r>
      <w:r>
        <w:rPr>
          <w:rFonts w:hint="eastAsia" w:ascii="幼圆" w:hAnsi="幼圆" w:eastAsia="幼圆" w:cs="幼圆"/>
          <w:kern w:val="0"/>
          <w:shd w:val="clear" w:color="auto" w:fill="FFFFFF"/>
        </w:rPr>
        <w:t>、</w:t>
      </w:r>
      <w:r>
        <w:rPr>
          <w:rFonts w:ascii="幼圆" w:hAnsi="幼圆" w:eastAsia="幼圆" w:cs="幼圆"/>
          <w:kern w:val="0"/>
          <w:shd w:val="clear" w:color="auto" w:fill="FFFFFF"/>
        </w:rPr>
        <w:t>2018</w:t>
      </w:r>
      <w:r>
        <w:rPr>
          <w:rFonts w:hint="eastAsia" w:ascii="幼圆" w:hAnsi="幼圆" w:eastAsia="幼圆" w:cs="幼圆"/>
          <w:kern w:val="0"/>
          <w:shd w:val="clear" w:color="auto" w:fill="FFFFFF"/>
        </w:rPr>
        <w:t>）</w:t>
      </w:r>
    </w:p>
    <w:p>
      <w:pPr>
        <w:widowControl/>
        <w:spacing w:line="420" w:lineRule="exact"/>
        <w:ind w:firstLine="420" w:firstLineChars="200"/>
        <w:rPr>
          <w:rFonts w:ascii="幼圆" w:hAnsi="幼圆" w:eastAsia="幼圆" w:cs="幼圆"/>
          <w:kern w:val="0"/>
          <w:shd w:val="clear" w:color="auto" w:fill="FFFFFF"/>
        </w:rPr>
      </w:pPr>
      <w:r>
        <w:rPr>
          <w:rFonts w:hint="eastAsia" w:ascii="幼圆" w:hAnsi="幼圆" w:eastAsia="幼圆" w:cs="幼圆"/>
          <w:kern w:val="0"/>
          <w:shd w:val="clear" w:color="auto" w:fill="FFFFFF"/>
        </w:rPr>
        <w:t>连续3年获得《财富》“中国5</w:t>
      </w:r>
      <w:r>
        <w:rPr>
          <w:rFonts w:ascii="幼圆" w:hAnsi="幼圆" w:eastAsia="幼圆" w:cs="幼圆"/>
          <w:kern w:val="0"/>
          <w:shd w:val="clear" w:color="auto" w:fill="FFFFFF"/>
        </w:rPr>
        <w:t>00</w:t>
      </w:r>
      <w:r>
        <w:rPr>
          <w:rFonts w:hint="eastAsia" w:ascii="幼圆" w:hAnsi="幼圆" w:eastAsia="幼圆" w:cs="幼圆"/>
          <w:kern w:val="0"/>
          <w:shd w:val="clear" w:color="auto" w:fill="FFFFFF"/>
        </w:rPr>
        <w:t>强”（</w:t>
      </w:r>
      <w:r>
        <w:rPr>
          <w:rFonts w:ascii="幼圆" w:hAnsi="幼圆" w:eastAsia="幼圆" w:cs="幼圆"/>
          <w:kern w:val="0"/>
          <w:shd w:val="clear" w:color="auto" w:fill="FFFFFF"/>
        </w:rPr>
        <w:t>2016</w:t>
      </w:r>
      <w:r>
        <w:rPr>
          <w:rFonts w:hint="eastAsia" w:ascii="幼圆" w:hAnsi="幼圆" w:eastAsia="幼圆" w:cs="幼圆"/>
          <w:kern w:val="0"/>
          <w:shd w:val="clear" w:color="auto" w:fill="FFFFFF"/>
        </w:rPr>
        <w:t>、</w:t>
      </w:r>
      <w:r>
        <w:rPr>
          <w:rFonts w:ascii="幼圆" w:hAnsi="幼圆" w:eastAsia="幼圆" w:cs="幼圆"/>
          <w:kern w:val="0"/>
          <w:shd w:val="clear" w:color="auto" w:fill="FFFFFF"/>
        </w:rPr>
        <w:t>2017</w:t>
      </w:r>
      <w:r>
        <w:rPr>
          <w:rFonts w:hint="eastAsia" w:ascii="幼圆" w:hAnsi="幼圆" w:eastAsia="幼圆" w:cs="幼圆"/>
          <w:kern w:val="0"/>
          <w:shd w:val="clear" w:color="auto" w:fill="FFFFFF"/>
        </w:rPr>
        <w:t>、</w:t>
      </w:r>
      <w:r>
        <w:rPr>
          <w:rFonts w:ascii="幼圆" w:hAnsi="幼圆" w:eastAsia="幼圆" w:cs="幼圆"/>
          <w:kern w:val="0"/>
          <w:shd w:val="clear" w:color="auto" w:fill="FFFFFF"/>
        </w:rPr>
        <w:t>2018</w:t>
      </w:r>
      <w:r>
        <w:rPr>
          <w:rFonts w:hint="eastAsia" w:ascii="幼圆" w:hAnsi="幼圆" w:eastAsia="幼圆" w:cs="幼圆"/>
          <w:kern w:val="0"/>
          <w:shd w:val="clear" w:color="auto" w:fill="FFFFFF"/>
        </w:rPr>
        <w:t>）</w:t>
      </w:r>
    </w:p>
    <w:p>
      <w:pPr>
        <w:widowControl/>
        <w:spacing w:line="420" w:lineRule="exact"/>
        <w:ind w:firstLine="420" w:firstLineChars="200"/>
        <w:rPr>
          <w:rFonts w:ascii="幼圆" w:hAnsi="幼圆" w:eastAsia="幼圆" w:cs="幼圆"/>
          <w:kern w:val="0"/>
          <w:shd w:val="clear" w:color="auto" w:fill="FFFFFF"/>
        </w:rPr>
      </w:pPr>
      <w:r>
        <w:rPr>
          <w:rFonts w:hint="eastAsia" w:ascii="幼圆" w:hAnsi="幼圆" w:eastAsia="幼圆" w:cs="幼圆"/>
          <w:kern w:val="0"/>
          <w:shd w:val="clear" w:color="auto" w:fill="FFFFFF"/>
        </w:rPr>
        <w:t>连续1</w:t>
      </w:r>
      <w:r>
        <w:rPr>
          <w:rFonts w:ascii="幼圆" w:hAnsi="幼圆" w:eastAsia="幼圆" w:cs="幼圆"/>
          <w:kern w:val="0"/>
          <w:shd w:val="clear" w:color="auto" w:fill="FFFFFF"/>
        </w:rPr>
        <w:t>0</w:t>
      </w:r>
      <w:r>
        <w:rPr>
          <w:rFonts w:hint="eastAsia" w:ascii="幼圆" w:hAnsi="幼圆" w:eastAsia="幼圆" w:cs="幼圆"/>
          <w:kern w:val="0"/>
          <w:shd w:val="clear" w:color="auto" w:fill="FFFFFF"/>
        </w:rPr>
        <w:t>年“中国房地产开发企业1</w:t>
      </w:r>
      <w:r>
        <w:rPr>
          <w:rFonts w:ascii="幼圆" w:hAnsi="幼圆" w:eastAsia="幼圆" w:cs="幼圆"/>
          <w:kern w:val="0"/>
          <w:shd w:val="clear" w:color="auto" w:fill="FFFFFF"/>
        </w:rPr>
        <w:t>00</w:t>
      </w:r>
      <w:r>
        <w:rPr>
          <w:rFonts w:hint="eastAsia" w:ascii="幼圆" w:hAnsi="幼圆" w:eastAsia="幼圆" w:cs="幼圆"/>
          <w:kern w:val="0"/>
          <w:shd w:val="clear" w:color="auto" w:fill="FFFFFF"/>
        </w:rPr>
        <w:t>强”</w:t>
      </w:r>
    </w:p>
    <w:p>
      <w:pPr>
        <w:pStyle w:val="6"/>
        <w:widowControl/>
        <w:shd w:val="clear" w:color="auto" w:fill="FFFFFF"/>
        <w:spacing w:beforeLines="50" w:beforeAutospacing="0" w:afterLines="50" w:afterAutospacing="0" w:line="270" w:lineRule="atLeast"/>
        <w:rPr>
          <w:rFonts w:ascii="幼圆" w:hAnsi="幼圆" w:eastAsia="幼圆" w:cs="幼圆"/>
          <w:b/>
          <w:bCs/>
          <w:sz w:val="21"/>
        </w:rPr>
      </w:pPr>
      <w:r>
        <w:rPr>
          <w:rFonts w:hint="eastAsia" w:ascii="幼圆" w:hAnsi="幼圆" w:eastAsia="幼圆" w:cs="幼圆"/>
          <w:b/>
          <w:bCs/>
          <w:sz w:val="21"/>
        </w:rPr>
        <w:t>二、重庆公司简介</w:t>
      </w:r>
    </w:p>
    <w:p>
      <w:pPr>
        <w:widowControl/>
        <w:spacing w:line="420" w:lineRule="exact"/>
        <w:ind w:firstLine="422" w:firstLineChars="200"/>
        <w:rPr>
          <w:rFonts w:ascii="幼圆" w:hAnsi="幼圆" w:eastAsia="幼圆" w:cs="幼圆"/>
          <w:b/>
          <w:bCs/>
          <w:kern w:val="0"/>
        </w:rPr>
      </w:pPr>
      <w:r>
        <w:rPr>
          <w:rFonts w:hint="eastAsia" w:ascii="幼圆" w:hAnsi="幼圆" w:eastAsia="幼圆" w:cs="幼圆"/>
          <w:b/>
          <w:bCs/>
        </w:rPr>
        <w:t xml:space="preserve">    </w:t>
      </w:r>
      <w:r>
        <w:rPr>
          <w:rFonts w:hint="eastAsia" w:ascii="幼圆" w:hAnsi="幼圆" w:eastAsia="幼圆" w:cs="幼圆"/>
          <w:kern w:val="0"/>
          <w:shd w:val="clear" w:color="auto" w:fill="FFFFFF"/>
        </w:rPr>
        <w:t>中骏集团重庆公司于2017年10月成立，入渝首年斩获10块地，项目遍布重庆各大区，其中双福2个，永川1个，大学城西永2个，渝北龙兴1个，渝北空港1个，鹿角1个，大渡口1个，九龙坡中梁山1个。</w:t>
      </w:r>
    </w:p>
    <w:p>
      <w:pPr>
        <w:widowControl/>
        <w:spacing w:line="420" w:lineRule="exact"/>
        <w:rPr>
          <w:rFonts w:ascii="幼圆" w:hAnsi="幼圆" w:eastAsia="幼圆" w:cs="幼圆"/>
          <w:kern w:val="0"/>
          <w:shd w:val="clear" w:color="auto" w:fill="FFFFFF"/>
        </w:rPr>
      </w:pPr>
    </w:p>
    <w:p>
      <w:pPr>
        <w:pStyle w:val="6"/>
        <w:widowControl/>
        <w:shd w:val="clear" w:color="auto" w:fill="FFFFFF"/>
        <w:spacing w:beforeLines="50" w:beforeAutospacing="0" w:afterLines="50" w:afterAutospacing="0" w:line="270" w:lineRule="atLeast"/>
        <w:rPr>
          <w:rFonts w:ascii="幼圆" w:hAnsi="幼圆" w:eastAsia="幼圆" w:cs="幼圆"/>
          <w:b/>
          <w:bCs/>
          <w:sz w:val="21"/>
        </w:rPr>
      </w:pPr>
      <w:r>
        <w:rPr>
          <w:rFonts w:hint="eastAsia" w:ascii="幼圆" w:hAnsi="幼圆" w:eastAsia="幼圆" w:cs="幼圆"/>
          <w:b/>
          <w:bCs/>
          <w:sz w:val="21"/>
        </w:rPr>
        <w:t>二、</w:t>
      </w:r>
      <w:r>
        <w:rPr>
          <w:rFonts w:hint="eastAsia" w:ascii="幼圆" w:hAnsi="幼圆" w:eastAsia="幼圆" w:cs="幼圆"/>
          <w:b/>
          <w:bCs/>
          <w:sz w:val="21"/>
          <w:lang w:val="en-US" w:eastAsia="zh-CN"/>
        </w:rPr>
        <w:t>岗位</w:t>
      </w:r>
      <w:r>
        <w:rPr>
          <w:rFonts w:hint="eastAsia" w:ascii="幼圆" w:hAnsi="幼圆" w:eastAsia="幼圆" w:cs="幼圆"/>
          <w:b/>
          <w:bCs/>
          <w:sz w:val="21"/>
        </w:rPr>
        <w:t>介绍</w:t>
      </w:r>
    </w:p>
    <w:p>
      <w:pPr>
        <w:spacing w:line="360" w:lineRule="auto"/>
        <w:ind w:firstLine="420" w:firstLineChars="200"/>
        <w:jc w:val="left"/>
        <w:rPr>
          <w:rFonts w:ascii="幼圆" w:hAnsi="幼圆" w:eastAsia="幼圆" w:cs="幼圆"/>
          <w:bCs/>
          <w:shd w:val="clear" w:color="auto" w:fill="FFFFFF"/>
        </w:rPr>
      </w:pPr>
      <w:r>
        <w:rPr>
          <w:rFonts w:hint="eastAsia" w:ascii="幼圆" w:hAnsi="幼圆" w:eastAsia="幼圆" w:cs="幼圆"/>
          <w:bCs/>
          <w:shd w:val="clear" w:color="auto" w:fill="FFFFFF"/>
          <w:lang w:eastAsia="zh-CN"/>
        </w:rPr>
        <w:t>“</w:t>
      </w:r>
      <w:r>
        <w:rPr>
          <w:rFonts w:hint="eastAsia" w:ascii="幼圆" w:hAnsi="幼圆" w:eastAsia="幼圆" w:cs="幼圆"/>
          <w:bCs/>
          <w:shd w:val="clear" w:color="auto" w:fill="FFFFFF"/>
          <w:lang w:val="en-US" w:eastAsia="zh-CN"/>
        </w:rPr>
        <w:t>渠道专员”，</w:t>
      </w:r>
      <w:r>
        <w:rPr>
          <w:rFonts w:hint="eastAsia" w:ascii="幼圆" w:hAnsi="幼圆" w:eastAsia="幼圆" w:cs="幼圆"/>
          <w:bCs/>
          <w:shd w:val="clear" w:color="auto" w:fill="FFFFFF"/>
        </w:rPr>
        <w:t>我们需要有野心、有欲望、具有营销特质的你，</w:t>
      </w:r>
      <w:bookmarkStart w:id="0" w:name="_Hlk1460954"/>
      <w:r>
        <w:rPr>
          <w:rFonts w:hint="eastAsia" w:ascii="幼圆" w:hAnsi="幼圆" w:eastAsia="幼圆" w:cs="幼圆"/>
          <w:bCs/>
          <w:shd w:val="clear" w:color="auto" w:fill="FFFFFF"/>
        </w:rPr>
        <w:t>通过我们为你量身定制的培养项目与动作，让你快速成长。</w:t>
      </w:r>
      <w:bookmarkEnd w:id="0"/>
    </w:p>
    <w:p>
      <w:pPr>
        <w:pStyle w:val="6"/>
        <w:widowControl/>
        <w:shd w:val="clear" w:color="auto" w:fill="FFFFFF"/>
        <w:spacing w:beforeLines="50" w:beforeAutospacing="0" w:afterLines="50" w:afterAutospacing="0" w:line="270" w:lineRule="atLeast"/>
        <w:rPr>
          <w:rFonts w:ascii="幼圆" w:hAnsi="幼圆" w:eastAsia="幼圆" w:cs="幼圆"/>
          <w:b/>
          <w:bCs/>
          <w:sz w:val="21"/>
        </w:rPr>
      </w:pPr>
      <w:r>
        <w:rPr>
          <w:rFonts w:hint="eastAsia" w:ascii="幼圆" w:hAnsi="幼圆" w:eastAsia="幼圆" w:cs="幼圆"/>
          <w:b/>
          <w:bCs/>
          <w:sz w:val="21"/>
        </w:rPr>
        <w:t>三、</w:t>
      </w:r>
      <w:r>
        <w:rPr>
          <w:rFonts w:hint="eastAsia" w:ascii="幼圆" w:hAnsi="幼圆" w:eastAsia="幼圆" w:cs="幼圆"/>
          <w:b/>
          <w:bCs/>
          <w:sz w:val="21"/>
          <w:lang w:val="en-US" w:eastAsia="zh-CN"/>
        </w:rPr>
        <w:t>招聘</w:t>
      </w:r>
      <w:r>
        <w:rPr>
          <w:rFonts w:hint="eastAsia" w:ascii="幼圆" w:hAnsi="幼圆" w:eastAsia="幼圆" w:cs="幼圆"/>
          <w:b/>
          <w:bCs/>
          <w:sz w:val="21"/>
        </w:rPr>
        <w:t>优势</w:t>
      </w:r>
    </w:p>
    <w:p>
      <w:pPr>
        <w:spacing w:line="440" w:lineRule="exact"/>
        <w:jc w:val="left"/>
        <w:rPr>
          <w:rFonts w:ascii="幼圆" w:hAnsi="幼圆" w:eastAsia="幼圆" w:cs="幼圆"/>
          <w:b/>
          <w:bCs/>
          <w:shd w:val="clear" w:color="auto" w:fill="FFFFFF"/>
        </w:rPr>
      </w:pPr>
      <w:r>
        <w:rPr>
          <w:rFonts w:hint="eastAsia" w:ascii="幼圆" w:hAnsi="幼圆" w:eastAsia="幼圆" w:cs="幼圆"/>
          <w:b/>
          <w:bCs/>
          <w:shd w:val="clear" w:color="auto" w:fill="FFFFFF"/>
          <w:lang w:val="en-US" w:eastAsia="zh-CN"/>
        </w:rPr>
        <w:t>1</w:t>
      </w:r>
      <w:r>
        <w:rPr>
          <w:rFonts w:hint="eastAsia" w:ascii="幼圆" w:hAnsi="幼圆" w:eastAsia="幼圆" w:cs="幼圆"/>
          <w:b/>
          <w:bCs/>
          <w:shd w:val="clear" w:color="auto" w:fill="FFFFFF"/>
        </w:rPr>
        <w:t>、行业领先的薪酬福利</w:t>
      </w:r>
    </w:p>
    <w:p>
      <w:pPr>
        <w:spacing w:line="440" w:lineRule="exact"/>
        <w:ind w:firstLine="420" w:firstLineChars="200"/>
        <w:rPr>
          <w:rFonts w:ascii="幼圆" w:hAnsi="幼圆" w:eastAsia="幼圆" w:cs="幼圆"/>
          <w:bCs/>
        </w:rPr>
      </w:pPr>
      <w:r>
        <w:rPr>
          <w:rFonts w:hint="eastAsia" w:ascii="幼圆" w:hAnsi="幼圆" w:eastAsia="幼圆" w:cs="幼圆"/>
          <w:bCs/>
          <w:lang w:val="en-US" w:eastAsia="zh-CN"/>
        </w:rPr>
        <w:t>岗位薪酬</w:t>
      </w:r>
      <w:r>
        <w:rPr>
          <w:rFonts w:hint="eastAsia" w:ascii="幼圆" w:hAnsi="幼圆" w:eastAsia="幼圆" w:cs="幼圆"/>
          <w:bCs/>
        </w:rPr>
        <w:t>：底薪</w:t>
      </w:r>
      <w:r>
        <w:rPr>
          <w:rFonts w:hint="eastAsia" w:ascii="幼圆" w:hAnsi="幼圆" w:eastAsia="幼圆" w:cs="幼圆"/>
          <w:bCs/>
          <w:lang w:val="en-US" w:eastAsia="zh-CN"/>
        </w:rPr>
        <w:t>3000</w:t>
      </w:r>
      <w:r>
        <w:rPr>
          <w:rFonts w:ascii="幼圆" w:hAnsi="幼圆" w:eastAsia="幼圆" w:cs="幼圆"/>
          <w:bCs/>
        </w:rPr>
        <w:t>+</w:t>
      </w:r>
      <w:r>
        <w:rPr>
          <w:rFonts w:hint="eastAsia" w:ascii="幼圆" w:hAnsi="幼圆" w:eastAsia="幼圆" w:cs="幼圆"/>
          <w:bCs/>
          <w:lang w:val="en-US" w:eastAsia="zh-CN"/>
        </w:rPr>
        <w:t>绩效2000+</w:t>
      </w:r>
      <w:r>
        <w:rPr>
          <w:rFonts w:hint="eastAsia" w:ascii="幼圆" w:hAnsi="幼圆" w:eastAsia="幼圆" w:cs="幼圆"/>
          <w:bCs/>
        </w:rPr>
        <w:t>高佣金</w:t>
      </w:r>
      <w:r>
        <w:rPr>
          <w:rFonts w:ascii="幼圆" w:hAnsi="幼圆" w:eastAsia="幼圆" w:cs="幼圆"/>
          <w:bCs/>
        </w:rPr>
        <w:t>，</w:t>
      </w:r>
      <w:r>
        <w:rPr>
          <w:rFonts w:hint="eastAsia" w:ascii="幼圆" w:hAnsi="幼圆" w:eastAsia="幼圆" w:cs="幼圆"/>
          <w:bCs/>
        </w:rPr>
        <w:t>高薪</w:t>
      </w:r>
      <w:r>
        <w:rPr>
          <w:rFonts w:ascii="幼圆" w:hAnsi="幼圆" w:eastAsia="幼圆" w:cs="幼圆"/>
          <w:bCs/>
        </w:rPr>
        <w:t>无上限</w:t>
      </w:r>
      <w:r>
        <w:rPr>
          <w:rFonts w:hint="eastAsia" w:ascii="幼圆" w:hAnsi="幼圆" w:eastAsia="幼圆" w:cs="幼圆"/>
          <w:bCs/>
        </w:rPr>
        <w:t>；</w:t>
      </w:r>
    </w:p>
    <w:p>
      <w:pPr>
        <w:spacing w:line="440" w:lineRule="exact"/>
        <w:ind w:left="210" w:leftChars="100" w:firstLine="210" w:firstLineChars="100"/>
        <w:jc w:val="left"/>
        <w:rPr>
          <w:rStyle w:val="9"/>
          <w:rFonts w:ascii="幼圆" w:hAnsi="幼圆" w:eastAsia="幼圆" w:cs="幼圆"/>
          <w:b w:val="0"/>
          <w:bCs/>
          <w:shd w:val="clear" w:color="auto" w:fill="FFFFFF"/>
        </w:rPr>
      </w:pPr>
      <w:r>
        <w:rPr>
          <w:rFonts w:hint="eastAsia" w:ascii="幼圆" w:hAnsi="幼圆" w:eastAsia="幼圆" w:cs="幼圆"/>
          <w:bCs/>
          <w:shd w:val="clear" w:color="auto" w:fill="FFFFFF"/>
        </w:rPr>
        <w:t>福利：五险一金、薪年假、节日福利、户外拓展</w:t>
      </w:r>
    </w:p>
    <w:p>
      <w:pPr>
        <w:spacing w:line="440" w:lineRule="exact"/>
        <w:rPr>
          <w:rFonts w:ascii="幼圆" w:hAnsi="幼圆" w:eastAsia="幼圆" w:cs="幼圆"/>
          <w:b/>
          <w:bCs/>
        </w:rPr>
      </w:pPr>
      <w:r>
        <w:rPr>
          <w:rFonts w:hint="eastAsia" w:ascii="幼圆" w:hAnsi="幼圆" w:eastAsia="幼圆" w:cs="幼圆"/>
          <w:b/>
          <w:bCs/>
          <w:lang w:val="en-US" w:eastAsia="zh-CN"/>
        </w:rPr>
        <w:t>2</w:t>
      </w:r>
      <w:r>
        <w:rPr>
          <w:rFonts w:hint="eastAsia" w:ascii="幼圆" w:hAnsi="幼圆" w:eastAsia="幼圆" w:cs="幼圆"/>
          <w:b/>
          <w:bCs/>
        </w:rPr>
        <w:t>、年轻高效的工作氛围</w:t>
      </w:r>
    </w:p>
    <w:p>
      <w:pPr>
        <w:spacing w:line="440" w:lineRule="exact"/>
        <w:ind w:firstLine="420" w:firstLineChars="200"/>
        <w:rPr>
          <w:rFonts w:ascii="幼圆" w:hAnsi="幼圆" w:eastAsia="幼圆" w:cs="幼圆"/>
          <w:bCs/>
        </w:rPr>
      </w:pPr>
      <w:r>
        <w:rPr>
          <w:rFonts w:hint="eastAsia" w:ascii="幼圆" w:hAnsi="幼圆" w:eastAsia="幼圆" w:cs="幼圆"/>
          <w:bCs/>
        </w:rPr>
        <w:t>中骏正处于高速发展时期，有更多的平台和机会，只要你有能力，就有发挥的空间！</w:t>
      </w:r>
    </w:p>
    <w:p>
      <w:pPr>
        <w:spacing w:line="440" w:lineRule="exact"/>
        <w:ind w:firstLine="420" w:firstLineChars="200"/>
        <w:rPr>
          <w:rStyle w:val="9"/>
          <w:rFonts w:ascii="幼圆" w:hAnsi="幼圆" w:eastAsia="幼圆" w:cs="幼圆"/>
          <w:bCs/>
          <w:shd w:val="clear" w:color="auto" w:fill="FFFFFF"/>
        </w:rPr>
      </w:pPr>
      <w:r>
        <w:rPr>
          <w:rFonts w:hint="eastAsia" w:ascii="幼圆" w:hAnsi="幼圆" w:eastAsia="幼圆" w:cs="幼圆"/>
          <w:bCs/>
        </w:rPr>
        <w:t>中骏管理干部年轻化，以80后为主，充满激情与梦想，在这里没有孤独的奋斗者！</w:t>
      </w:r>
    </w:p>
    <w:p>
      <w:pPr>
        <w:pStyle w:val="6"/>
        <w:widowControl/>
        <w:shd w:val="clear" w:color="auto" w:fill="FFFFFF"/>
        <w:spacing w:beforeLines="50" w:beforeAutospacing="0" w:afterLines="50" w:afterAutospacing="0" w:line="270" w:lineRule="atLeast"/>
        <w:rPr>
          <w:rFonts w:ascii="幼圆" w:hAnsi="幼圆" w:eastAsia="幼圆" w:cs="幼圆"/>
          <w:b/>
          <w:bCs/>
          <w:sz w:val="21"/>
        </w:rPr>
      </w:pPr>
      <w:r>
        <w:rPr>
          <w:rFonts w:hint="eastAsia" w:ascii="幼圆" w:hAnsi="幼圆" w:eastAsia="幼圆" w:cs="幼圆"/>
          <w:b/>
          <w:bCs/>
          <w:sz w:val="21"/>
        </w:rPr>
        <w:t>六、应聘要求</w:t>
      </w:r>
    </w:p>
    <w:p>
      <w:pPr>
        <w:pStyle w:val="6"/>
        <w:widowControl/>
        <w:spacing w:before="0" w:beforeAutospacing="0" w:after="0" w:afterAutospacing="0" w:line="360" w:lineRule="auto"/>
        <w:rPr>
          <w:rStyle w:val="9"/>
          <w:rFonts w:ascii="幼圆" w:hAnsi="幼圆" w:eastAsia="幼圆" w:cs="幼圆"/>
          <w:b w:val="0"/>
          <w:bCs/>
          <w:sz w:val="21"/>
          <w:shd w:val="clear" w:color="auto" w:fill="FFFFFF"/>
        </w:rPr>
      </w:pPr>
      <w:r>
        <w:rPr>
          <w:rStyle w:val="9"/>
          <w:rFonts w:hint="eastAsia" w:ascii="幼圆" w:hAnsi="幼圆" w:eastAsia="幼圆" w:cs="幼圆"/>
          <w:b w:val="0"/>
          <w:bCs/>
          <w:sz w:val="21"/>
          <w:shd w:val="clear" w:color="auto" w:fill="FFFFFF"/>
        </w:rPr>
        <w:t>1、我们需要2019届全日制</w:t>
      </w:r>
      <w:r>
        <w:rPr>
          <w:rStyle w:val="9"/>
          <w:rFonts w:hint="eastAsia" w:ascii="幼圆" w:hAnsi="幼圆" w:eastAsia="幼圆" w:cs="幼圆"/>
          <w:b w:val="0"/>
          <w:bCs/>
          <w:sz w:val="21"/>
          <w:shd w:val="clear" w:color="auto" w:fill="FFFFFF"/>
          <w:lang w:val="en-US" w:eastAsia="zh-CN"/>
        </w:rPr>
        <w:t>专</w:t>
      </w:r>
      <w:r>
        <w:rPr>
          <w:rStyle w:val="9"/>
          <w:rFonts w:hint="eastAsia" w:ascii="幼圆" w:hAnsi="幼圆" w:eastAsia="幼圆" w:cs="幼圆"/>
          <w:b w:val="0"/>
          <w:bCs/>
          <w:sz w:val="21"/>
          <w:shd w:val="clear" w:color="auto" w:fill="FFFFFF"/>
        </w:rPr>
        <w:t>科</w:t>
      </w:r>
      <w:r>
        <w:rPr>
          <w:rStyle w:val="9"/>
          <w:rFonts w:hint="eastAsia" w:ascii="幼圆" w:hAnsi="幼圆" w:eastAsia="幼圆" w:cs="幼圆"/>
          <w:b w:val="0"/>
          <w:bCs/>
          <w:sz w:val="21"/>
          <w:shd w:val="clear" w:color="auto" w:fill="FFFFFF"/>
          <w:lang w:val="en-US" w:eastAsia="zh-CN"/>
        </w:rPr>
        <w:t>及以上</w:t>
      </w:r>
      <w:r>
        <w:rPr>
          <w:rStyle w:val="9"/>
          <w:rFonts w:hint="eastAsia" w:ascii="幼圆" w:hAnsi="幼圆" w:eastAsia="幼圆" w:cs="幼圆"/>
          <w:b w:val="0"/>
          <w:bCs/>
          <w:sz w:val="21"/>
          <w:shd w:val="clear" w:color="auto" w:fill="FFFFFF"/>
        </w:rPr>
        <w:t>；</w:t>
      </w:r>
    </w:p>
    <w:p>
      <w:pPr>
        <w:spacing w:line="360" w:lineRule="auto"/>
        <w:rPr>
          <w:rStyle w:val="9"/>
          <w:rFonts w:ascii="幼圆" w:hAnsi="幼圆" w:eastAsia="幼圆" w:cs="幼圆"/>
          <w:b w:val="0"/>
          <w:bCs/>
          <w:kern w:val="0"/>
          <w:szCs w:val="28"/>
          <w:shd w:val="clear" w:color="auto" w:fill="FFFFFF"/>
        </w:rPr>
      </w:pPr>
      <w:r>
        <w:rPr>
          <w:rStyle w:val="9"/>
          <w:rFonts w:hint="eastAsia" w:ascii="幼圆" w:hAnsi="幼圆" w:eastAsia="幼圆" w:cs="幼圆"/>
          <w:b w:val="0"/>
          <w:bCs/>
          <w:kern w:val="0"/>
          <w:szCs w:val="28"/>
          <w:shd w:val="clear" w:color="auto" w:fill="FFFFFF"/>
        </w:rPr>
        <w:t>2、需要你有激情和创造力；</w:t>
      </w:r>
    </w:p>
    <w:p>
      <w:pPr>
        <w:spacing w:line="360" w:lineRule="auto"/>
        <w:rPr>
          <w:rStyle w:val="9"/>
          <w:rFonts w:ascii="幼圆" w:hAnsi="幼圆" w:eastAsia="幼圆" w:cs="幼圆"/>
          <w:b w:val="0"/>
          <w:bCs/>
          <w:kern w:val="0"/>
          <w:szCs w:val="28"/>
          <w:shd w:val="clear" w:color="auto" w:fill="FFFFFF"/>
        </w:rPr>
      </w:pPr>
      <w:r>
        <w:rPr>
          <w:rStyle w:val="9"/>
          <w:rFonts w:hint="eastAsia" w:ascii="幼圆" w:hAnsi="幼圆" w:eastAsia="幼圆" w:cs="幼圆"/>
          <w:b w:val="0"/>
          <w:bCs/>
          <w:kern w:val="0"/>
          <w:szCs w:val="28"/>
          <w:shd w:val="clear" w:color="auto" w:fill="FFFFFF"/>
        </w:rPr>
        <w:t>3、需要你具备良好的抗压能力、沟通能力和管理能力；</w:t>
      </w:r>
    </w:p>
    <w:p>
      <w:pPr>
        <w:pStyle w:val="6"/>
        <w:widowControl/>
        <w:shd w:val="clear" w:color="auto" w:fill="FFFFFF"/>
        <w:spacing w:beforeLines="50" w:beforeAutospacing="0" w:afterLines="50" w:afterAutospacing="0" w:line="270" w:lineRule="atLeast"/>
        <w:rPr>
          <w:rFonts w:ascii="幼圆" w:hAnsi="幼圆" w:eastAsia="幼圆" w:cs="幼圆"/>
          <w:b/>
          <w:bCs/>
          <w:sz w:val="21"/>
        </w:rPr>
      </w:pPr>
      <w:r>
        <w:rPr>
          <w:rFonts w:hint="eastAsia" w:ascii="幼圆" w:hAnsi="幼圆" w:eastAsia="幼圆" w:cs="幼圆"/>
          <w:b/>
          <w:bCs/>
          <w:sz w:val="21"/>
        </w:rPr>
        <w:t>七、工作地点</w:t>
      </w:r>
    </w:p>
    <w:p>
      <w:pPr>
        <w:pStyle w:val="6"/>
        <w:widowControl/>
        <w:spacing w:before="0" w:beforeAutospacing="0" w:after="0" w:afterAutospacing="0" w:line="360" w:lineRule="auto"/>
        <w:rPr>
          <w:rStyle w:val="9"/>
          <w:rFonts w:hint="eastAsia" w:ascii="幼圆" w:hAnsi="幼圆" w:eastAsia="幼圆" w:cs="幼圆"/>
          <w:b w:val="0"/>
          <w:bCs/>
          <w:sz w:val="21"/>
          <w:shd w:val="clear" w:color="auto" w:fill="FFFFFF"/>
          <w:lang w:val="en-US" w:eastAsia="zh-CN"/>
        </w:rPr>
      </w:pPr>
      <w:r>
        <w:rPr>
          <w:rStyle w:val="9"/>
          <w:rFonts w:hint="eastAsia" w:ascii="幼圆" w:hAnsi="幼圆" w:eastAsia="幼圆" w:cs="幼圆"/>
          <w:b w:val="0"/>
          <w:bCs/>
          <w:sz w:val="21"/>
          <w:shd w:val="clear" w:color="auto" w:fill="FFFFFF"/>
          <w:lang w:val="en-US" w:eastAsia="zh-CN"/>
        </w:rPr>
        <w:t>重庆</w:t>
      </w:r>
    </w:p>
    <w:p>
      <w:pPr>
        <w:widowControl/>
        <w:spacing w:line="360" w:lineRule="auto"/>
        <w:rPr>
          <w:rFonts w:ascii="幼圆" w:hAnsi="幼圆" w:eastAsia="幼圆" w:cs="幼圆"/>
          <w:b/>
          <w:sz w:val="24"/>
          <w:szCs w:val="28"/>
        </w:rPr>
      </w:pPr>
      <w:r>
        <w:rPr>
          <w:rFonts w:hint="eastAsia" w:ascii="幼圆" w:hAnsi="幼圆" w:eastAsia="幼圆" w:cs="幼圆"/>
          <w:b/>
          <w:sz w:val="24"/>
          <w:szCs w:val="28"/>
        </w:rPr>
        <w:t>中骏集团</w:t>
      </w:r>
      <w:r>
        <w:rPr>
          <w:rFonts w:hint="eastAsia" w:ascii="幼圆" w:hAnsi="幼圆" w:eastAsia="幼圆" w:cs="幼圆"/>
          <w:b/>
          <w:sz w:val="24"/>
          <w:szCs w:val="28"/>
          <w:lang w:eastAsia="zh-CN"/>
        </w:rPr>
        <w:t>“</w:t>
      </w:r>
      <w:r>
        <w:rPr>
          <w:rFonts w:hint="eastAsia" w:ascii="幼圆" w:hAnsi="幼圆" w:eastAsia="幼圆" w:cs="幼圆"/>
          <w:b/>
          <w:sz w:val="24"/>
          <w:szCs w:val="28"/>
        </w:rPr>
        <w:t>2019届</w:t>
      </w:r>
      <w:r>
        <w:rPr>
          <w:rFonts w:hint="eastAsia" w:ascii="幼圆" w:hAnsi="幼圆" w:eastAsia="幼圆" w:cs="幼圆"/>
          <w:b/>
          <w:sz w:val="24"/>
          <w:szCs w:val="28"/>
          <w:lang w:val="en-US" w:eastAsia="zh-CN"/>
        </w:rPr>
        <w:t>渠道</w:t>
      </w:r>
      <w:r>
        <w:rPr>
          <w:rFonts w:hint="eastAsia" w:ascii="幼圆" w:hAnsi="幼圆" w:eastAsia="幼圆" w:cs="幼圆"/>
          <w:b/>
          <w:sz w:val="24"/>
          <w:szCs w:val="28"/>
        </w:rPr>
        <w:t>”春季校园招聘，绽F</w:t>
      </w:r>
      <w:r>
        <w:rPr>
          <w:rFonts w:ascii="幼圆" w:hAnsi="幼圆" w:eastAsia="幼圆" w:cs="幼圆"/>
          <w:b/>
          <w:sz w:val="24"/>
          <w:szCs w:val="28"/>
        </w:rPr>
        <w:t>UN</w:t>
      </w:r>
      <w:r>
        <w:rPr>
          <w:rFonts w:hint="eastAsia" w:ascii="幼圆" w:hAnsi="幼圆" w:eastAsia="幼圆" w:cs="幼圆"/>
          <w:b/>
          <w:sz w:val="24"/>
          <w:szCs w:val="28"/>
        </w:rPr>
        <w:t>你的未来，我们在中骏等你！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55E5"/>
    <w:rsid w:val="00011180"/>
    <w:rsid w:val="00013B0C"/>
    <w:rsid w:val="00014940"/>
    <w:rsid w:val="00023277"/>
    <w:rsid w:val="0002362B"/>
    <w:rsid w:val="000573A8"/>
    <w:rsid w:val="00084033"/>
    <w:rsid w:val="000925E7"/>
    <w:rsid w:val="000C075F"/>
    <w:rsid w:val="000D3E59"/>
    <w:rsid w:val="000D4714"/>
    <w:rsid w:val="001124C1"/>
    <w:rsid w:val="00113C3E"/>
    <w:rsid w:val="00115207"/>
    <w:rsid w:val="00122247"/>
    <w:rsid w:val="00143D7F"/>
    <w:rsid w:val="0015090B"/>
    <w:rsid w:val="0015245F"/>
    <w:rsid w:val="0017092A"/>
    <w:rsid w:val="00173A4E"/>
    <w:rsid w:val="00190072"/>
    <w:rsid w:val="001B5FBA"/>
    <w:rsid w:val="001B643D"/>
    <w:rsid w:val="001C4C11"/>
    <w:rsid w:val="001D0D49"/>
    <w:rsid w:val="001D3CA2"/>
    <w:rsid w:val="001D536E"/>
    <w:rsid w:val="001E09DE"/>
    <w:rsid w:val="001E489C"/>
    <w:rsid w:val="001F3C5C"/>
    <w:rsid w:val="002049B8"/>
    <w:rsid w:val="002062B1"/>
    <w:rsid w:val="00221A76"/>
    <w:rsid w:val="00243730"/>
    <w:rsid w:val="00244FFC"/>
    <w:rsid w:val="002574F2"/>
    <w:rsid w:val="002612AB"/>
    <w:rsid w:val="00282501"/>
    <w:rsid w:val="002A4B92"/>
    <w:rsid w:val="002B1F7C"/>
    <w:rsid w:val="002D3362"/>
    <w:rsid w:val="002D3ADC"/>
    <w:rsid w:val="002E3AA6"/>
    <w:rsid w:val="002F24EA"/>
    <w:rsid w:val="002F4A10"/>
    <w:rsid w:val="002F630A"/>
    <w:rsid w:val="003112C0"/>
    <w:rsid w:val="00315F7B"/>
    <w:rsid w:val="00320BCC"/>
    <w:rsid w:val="00322753"/>
    <w:rsid w:val="0032319B"/>
    <w:rsid w:val="00323586"/>
    <w:rsid w:val="0032405D"/>
    <w:rsid w:val="00325057"/>
    <w:rsid w:val="00355751"/>
    <w:rsid w:val="00355B70"/>
    <w:rsid w:val="003769B6"/>
    <w:rsid w:val="003C2EDF"/>
    <w:rsid w:val="003F7723"/>
    <w:rsid w:val="004058F7"/>
    <w:rsid w:val="004126EA"/>
    <w:rsid w:val="004300FD"/>
    <w:rsid w:val="0046152E"/>
    <w:rsid w:val="004A32F0"/>
    <w:rsid w:val="004B5687"/>
    <w:rsid w:val="004C34F8"/>
    <w:rsid w:val="004C694A"/>
    <w:rsid w:val="004D1DA5"/>
    <w:rsid w:val="004F5A31"/>
    <w:rsid w:val="00517799"/>
    <w:rsid w:val="00522BA6"/>
    <w:rsid w:val="00525ACD"/>
    <w:rsid w:val="005352A3"/>
    <w:rsid w:val="00576212"/>
    <w:rsid w:val="00576F20"/>
    <w:rsid w:val="0059264E"/>
    <w:rsid w:val="00594147"/>
    <w:rsid w:val="005B1BD7"/>
    <w:rsid w:val="005B4E0B"/>
    <w:rsid w:val="005C0DD6"/>
    <w:rsid w:val="005F3D3D"/>
    <w:rsid w:val="00612972"/>
    <w:rsid w:val="00622215"/>
    <w:rsid w:val="006313CC"/>
    <w:rsid w:val="00632AAC"/>
    <w:rsid w:val="006775CC"/>
    <w:rsid w:val="0068567B"/>
    <w:rsid w:val="00686C9B"/>
    <w:rsid w:val="00687F76"/>
    <w:rsid w:val="006A0A65"/>
    <w:rsid w:val="006A254D"/>
    <w:rsid w:val="006C75FF"/>
    <w:rsid w:val="006C7E66"/>
    <w:rsid w:val="006E0AE1"/>
    <w:rsid w:val="006E3496"/>
    <w:rsid w:val="006E6FB4"/>
    <w:rsid w:val="00714347"/>
    <w:rsid w:val="00722B43"/>
    <w:rsid w:val="00743FFC"/>
    <w:rsid w:val="00745F6D"/>
    <w:rsid w:val="00751082"/>
    <w:rsid w:val="007B7BB2"/>
    <w:rsid w:val="007C774E"/>
    <w:rsid w:val="007D610E"/>
    <w:rsid w:val="007D7AD7"/>
    <w:rsid w:val="007F2508"/>
    <w:rsid w:val="007F7A77"/>
    <w:rsid w:val="00803533"/>
    <w:rsid w:val="00833205"/>
    <w:rsid w:val="00841C9B"/>
    <w:rsid w:val="00861640"/>
    <w:rsid w:val="008619EF"/>
    <w:rsid w:val="008701ED"/>
    <w:rsid w:val="0087420A"/>
    <w:rsid w:val="00885CEE"/>
    <w:rsid w:val="00893FDF"/>
    <w:rsid w:val="008B1215"/>
    <w:rsid w:val="008B4851"/>
    <w:rsid w:val="008E2228"/>
    <w:rsid w:val="008E71AA"/>
    <w:rsid w:val="008F7F98"/>
    <w:rsid w:val="00903232"/>
    <w:rsid w:val="00911E9D"/>
    <w:rsid w:val="0093209D"/>
    <w:rsid w:val="00980F49"/>
    <w:rsid w:val="00987564"/>
    <w:rsid w:val="009B1FDC"/>
    <w:rsid w:val="00A0115C"/>
    <w:rsid w:val="00A10185"/>
    <w:rsid w:val="00A20B72"/>
    <w:rsid w:val="00A47F64"/>
    <w:rsid w:val="00A62FDB"/>
    <w:rsid w:val="00AA3B54"/>
    <w:rsid w:val="00AA3FBC"/>
    <w:rsid w:val="00AC7822"/>
    <w:rsid w:val="00AE4A62"/>
    <w:rsid w:val="00AE6D81"/>
    <w:rsid w:val="00AF1C6C"/>
    <w:rsid w:val="00B204A8"/>
    <w:rsid w:val="00B410AA"/>
    <w:rsid w:val="00B46ABD"/>
    <w:rsid w:val="00B5172B"/>
    <w:rsid w:val="00B535E3"/>
    <w:rsid w:val="00B816BB"/>
    <w:rsid w:val="00B90930"/>
    <w:rsid w:val="00BB04D1"/>
    <w:rsid w:val="00BD04F8"/>
    <w:rsid w:val="00BD496F"/>
    <w:rsid w:val="00BE6EDE"/>
    <w:rsid w:val="00C24242"/>
    <w:rsid w:val="00C5272A"/>
    <w:rsid w:val="00C56221"/>
    <w:rsid w:val="00C77B2B"/>
    <w:rsid w:val="00CA1CB5"/>
    <w:rsid w:val="00CB346F"/>
    <w:rsid w:val="00CC0539"/>
    <w:rsid w:val="00CC7C65"/>
    <w:rsid w:val="00CD1B8B"/>
    <w:rsid w:val="00CD210A"/>
    <w:rsid w:val="00D15401"/>
    <w:rsid w:val="00D3018A"/>
    <w:rsid w:val="00D3224A"/>
    <w:rsid w:val="00D40697"/>
    <w:rsid w:val="00D455E5"/>
    <w:rsid w:val="00D5520A"/>
    <w:rsid w:val="00D577BF"/>
    <w:rsid w:val="00D6100D"/>
    <w:rsid w:val="00D77A00"/>
    <w:rsid w:val="00D90B6B"/>
    <w:rsid w:val="00D91AD5"/>
    <w:rsid w:val="00DA094F"/>
    <w:rsid w:val="00DB3B76"/>
    <w:rsid w:val="00DD005F"/>
    <w:rsid w:val="00DE01B1"/>
    <w:rsid w:val="00DE5C48"/>
    <w:rsid w:val="00E0222D"/>
    <w:rsid w:val="00E23F9A"/>
    <w:rsid w:val="00E452FD"/>
    <w:rsid w:val="00E47898"/>
    <w:rsid w:val="00E622BC"/>
    <w:rsid w:val="00E8373E"/>
    <w:rsid w:val="00E86A29"/>
    <w:rsid w:val="00EA472D"/>
    <w:rsid w:val="00EA66AC"/>
    <w:rsid w:val="00ED51AC"/>
    <w:rsid w:val="00EE4EF1"/>
    <w:rsid w:val="00EE5358"/>
    <w:rsid w:val="00EF0011"/>
    <w:rsid w:val="00F06433"/>
    <w:rsid w:val="00F07E0A"/>
    <w:rsid w:val="00F07FA4"/>
    <w:rsid w:val="00F23101"/>
    <w:rsid w:val="00F473D4"/>
    <w:rsid w:val="00F5219F"/>
    <w:rsid w:val="00F5301A"/>
    <w:rsid w:val="00F808FF"/>
    <w:rsid w:val="00F86C54"/>
    <w:rsid w:val="01392EC5"/>
    <w:rsid w:val="180C273E"/>
    <w:rsid w:val="222E0930"/>
    <w:rsid w:val="265D45B7"/>
    <w:rsid w:val="2F9C3EF6"/>
    <w:rsid w:val="3A9C0F0D"/>
    <w:rsid w:val="3CC717D7"/>
    <w:rsid w:val="55FE5C9B"/>
    <w:rsid w:val="59167570"/>
    <w:rsid w:val="7081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uiPriority w:val="0"/>
    <w:pPr>
      <w:jc w:val="left"/>
    </w:p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annotation reference"/>
    <w:basedOn w:val="8"/>
    <w:uiPriority w:val="0"/>
    <w:rPr>
      <w:sz w:val="21"/>
      <w:szCs w:val="21"/>
    </w:rPr>
  </w:style>
  <w:style w:type="character" w:customStyle="1" w:styleId="11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4">
    <w:name w:val="列出段落1"/>
    <w:basedOn w:val="1"/>
    <w:unhideWhenUsed/>
    <w:qFormat/>
    <w:uiPriority w:val="34"/>
    <w:pPr>
      <w:ind w:firstLine="420" w:firstLineChars="200"/>
    </w:pPr>
  </w:style>
  <w:style w:type="paragraph" w:styleId="15">
    <w:name w:val="List Paragraph"/>
    <w:basedOn w:val="1"/>
    <w:uiPriority w:val="99"/>
    <w:pPr>
      <w:ind w:firstLine="420" w:firstLineChars="200"/>
    </w:pPr>
  </w:style>
  <w:style w:type="character" w:customStyle="1" w:styleId="16">
    <w:name w:val="批注文字 Char"/>
    <w:basedOn w:val="8"/>
    <w:link w:val="2"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2081</Words>
  <Characters>280</Characters>
  <Lines>2</Lines>
  <Paragraphs>4</Paragraphs>
  <TotalTime>13</TotalTime>
  <ScaleCrop>false</ScaleCrop>
  <LinksUpToDate>false</LinksUpToDate>
  <CharactersWithSpaces>2357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2019-03-04T07:40:00Z</dcterms:created>
  <dc:creator>ff_1229126com</dc:creator>
  <cp:lastModifiedBy>Hello小秘</cp:lastModifiedBy>
  <dcterms:modified xsi:type="dcterms:W3CDTF">2019-03-20T06:17:46Z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